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B8DC9">
      <w:pPr>
        <w:spacing w:line="360" w:lineRule="auto"/>
        <w:jc w:val="left"/>
        <w:rPr>
          <w:rFonts w:hint="eastAsia"/>
        </w:rPr>
      </w:pPr>
      <w:r>
        <w:rPr>
          <w:rFonts w:hint="eastAsia"/>
        </w:rPr>
        <w:t>附件</w:t>
      </w:r>
      <w:r>
        <w:t>3</w:t>
      </w:r>
      <w:r>
        <w:rPr>
          <w:rFonts w:hint="eastAsia"/>
        </w:rPr>
        <w:t>：</w:t>
      </w:r>
    </w:p>
    <w:p w14:paraId="2F60C477">
      <w:pPr>
        <w:jc w:val="center"/>
        <w:rPr>
          <w:rFonts w:hint="eastAsia" w:ascii="仿宋_GB2312" w:eastAsia="仿宋_GB2312"/>
          <w:b/>
          <w:sz w:val="32"/>
          <w:szCs w:val="32"/>
        </w:rPr>
      </w:pPr>
      <w:r>
        <w:rPr>
          <w:rFonts w:hint="eastAsia" w:ascii="仿宋_GB2312" w:eastAsia="仿宋_GB2312"/>
          <w:b/>
          <w:sz w:val="32"/>
          <w:szCs w:val="32"/>
        </w:rPr>
        <w:t>关于本科生导师和培养对象考核的试行办法</w:t>
      </w:r>
    </w:p>
    <w:p w14:paraId="79F474C6">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根据《南京中医药大学关于本科生实施导师制培养模式的试行办法》的有关要求及学院的工作实际，经院本导制人才培养工作领导小组研究，现制定卫生经济管理学院本科生导师和培养对象考核试行办法，请遵照实施。</w:t>
      </w:r>
    </w:p>
    <w:p w14:paraId="765D9003">
      <w:pPr>
        <w:spacing w:line="520" w:lineRule="exact"/>
        <w:ind w:firstLine="562" w:firstLineChars="200"/>
        <w:jc w:val="center"/>
        <w:rPr>
          <w:rFonts w:hint="default" w:ascii="仿宋_GB2312" w:hAnsi="Times New Roman" w:eastAsia="仿宋_GB2312" w:cs="Times New Roman"/>
          <w:b/>
          <w:sz w:val="28"/>
          <w:szCs w:val="28"/>
          <w:lang w:val="en-US" w:eastAsia="zh-CN"/>
        </w:rPr>
      </w:pPr>
      <w:r>
        <w:rPr>
          <w:rFonts w:hint="eastAsia" w:ascii="仿宋_GB2312" w:hAnsi="Times New Roman" w:eastAsia="仿宋_GB2312" w:cs="Times New Roman"/>
          <w:b/>
          <w:sz w:val="28"/>
          <w:szCs w:val="28"/>
          <w:lang w:val="en-US" w:eastAsia="zh-CN"/>
        </w:rPr>
        <w:t>第一章 总则</w:t>
      </w:r>
    </w:p>
    <w:p w14:paraId="633A3735">
      <w:pPr>
        <w:spacing w:line="520" w:lineRule="exact"/>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一、组织实施</w:t>
      </w:r>
    </w:p>
    <w:p w14:paraId="40F74467">
      <w:pPr>
        <w:spacing w:line="520" w:lineRule="exact"/>
        <w:ind w:firstLine="560" w:firstLineChars="200"/>
        <w:rPr>
          <w:rFonts w:hint="eastAsia" w:ascii="仿宋_GB2312" w:eastAsia="仿宋_GB2312"/>
          <w:sz w:val="28"/>
          <w:szCs w:val="28"/>
        </w:rPr>
      </w:pPr>
      <w:r>
        <w:rPr>
          <w:rFonts w:hint="eastAsia" w:ascii="仿宋_GB2312" w:hAnsi="Times New Roman" w:eastAsia="仿宋_GB2312" w:cs="Times New Roman"/>
          <w:sz w:val="28"/>
          <w:szCs w:val="28"/>
        </w:rPr>
        <w:t>卫生经济管理学院</w:t>
      </w:r>
      <w:r>
        <w:rPr>
          <w:rFonts w:hint="eastAsia" w:ascii="仿宋_GB2312" w:eastAsia="仿宋_GB2312"/>
          <w:sz w:val="28"/>
          <w:szCs w:val="28"/>
        </w:rPr>
        <w:t>本导制人才培养工作领导小组负责对学院本科生导师和培养对象的年度考核，年度考核于每年12月进行。</w:t>
      </w:r>
    </w:p>
    <w:p w14:paraId="25378C02">
      <w:pPr>
        <w:spacing w:line="520" w:lineRule="exact"/>
        <w:ind w:firstLine="562" w:firstLineChars="200"/>
        <w:rPr>
          <w:rFonts w:hint="eastAsia" w:ascii="仿宋_GB2312" w:eastAsia="仿宋_GB2312"/>
          <w:b/>
          <w:sz w:val="28"/>
          <w:szCs w:val="28"/>
        </w:rPr>
      </w:pPr>
      <w:r>
        <w:rPr>
          <w:rFonts w:hint="eastAsia" w:ascii="仿宋_GB2312" w:eastAsia="仿宋_GB2312"/>
          <w:b/>
          <w:sz w:val="28"/>
          <w:szCs w:val="28"/>
        </w:rPr>
        <w:t>二、本科生导师的考核</w:t>
      </w:r>
    </w:p>
    <w:p w14:paraId="239F6692">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卫生经济管理学院本导制人才培养工作领导小组根据本科生导师履行导师职责情况确定导师待遇，核算导师工作量。对于培养对象失去培养资格，又未补充新的培养对象的，或因各种原因不能履行、胜任导师职责的，则取消其导师待遇。</w:t>
      </w:r>
    </w:p>
    <w:p w14:paraId="684B8431">
      <w:pPr>
        <w:spacing w:line="520" w:lineRule="exact"/>
        <w:ind w:firstLine="562" w:firstLineChars="200"/>
        <w:jc w:val="center"/>
        <w:rPr>
          <w:rFonts w:hint="default" w:ascii="仿宋_GB2312" w:hAnsi="Times New Roman" w:eastAsia="仿宋_GB2312" w:cs="Times New Roman"/>
          <w:b/>
          <w:sz w:val="28"/>
          <w:szCs w:val="28"/>
          <w:lang w:val="en-US" w:eastAsia="zh-CN"/>
        </w:rPr>
      </w:pPr>
      <w:r>
        <w:rPr>
          <w:rFonts w:hint="eastAsia" w:ascii="仿宋_GB2312" w:hAnsi="Times New Roman" w:eastAsia="仿宋_GB2312" w:cs="Times New Roman"/>
          <w:b/>
          <w:sz w:val="28"/>
          <w:szCs w:val="28"/>
          <w:lang w:val="en-US" w:eastAsia="zh-CN"/>
        </w:rPr>
        <w:t>第二章 导师任职条件</w:t>
      </w:r>
    </w:p>
    <w:p w14:paraId="74B01C9E">
      <w:pPr>
        <w:spacing w:line="520" w:lineRule="exact"/>
        <w:ind w:firstLine="562" w:firstLineChars="200"/>
        <w:rPr>
          <w:rFonts w:hint="default" w:ascii="仿宋_GB2312" w:eastAsia="仿宋_GB2312"/>
          <w:b/>
          <w:sz w:val="28"/>
          <w:szCs w:val="28"/>
          <w:lang w:val="en-US" w:eastAsia="zh-CN"/>
        </w:rPr>
      </w:pPr>
      <w:r>
        <w:rPr>
          <w:rFonts w:hint="eastAsia" w:ascii="仿宋_GB2312" w:eastAsia="仿宋_GB2312"/>
          <w:b/>
          <w:sz w:val="28"/>
          <w:szCs w:val="28"/>
          <w:lang w:val="en-US" w:eastAsia="zh-CN"/>
        </w:rPr>
        <w:t>一、</w:t>
      </w:r>
      <w:r>
        <w:rPr>
          <w:rFonts w:hint="eastAsia" w:ascii="仿宋_GB2312" w:eastAsia="仿宋_GB2312"/>
          <w:b/>
          <w:sz w:val="28"/>
          <w:szCs w:val="28"/>
        </w:rPr>
        <w:t>导师</w:t>
      </w:r>
      <w:r>
        <w:rPr>
          <w:rFonts w:hint="eastAsia" w:ascii="仿宋_GB2312" w:eastAsia="仿宋_GB2312"/>
          <w:b/>
          <w:sz w:val="28"/>
          <w:szCs w:val="28"/>
          <w:lang w:val="en-US" w:eastAsia="zh-CN"/>
        </w:rPr>
        <w:t>应具备以下基本条件</w:t>
      </w:r>
    </w:p>
    <w:p w14:paraId="14BC2F2D">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1、拥护党的领导，践行社会主义核心价值观，政治觉悟高、理论素养强；恪守师德师风，潜心育人，关爱学生，治学严谨，作风正派，以品行示范引领学生成长。；</w:t>
      </w:r>
    </w:p>
    <w:p w14:paraId="5EB67B16">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2、熟悉教学规律和人才培养过程，具备与岗位匹配专业知识和实践能力。科创导师需兼具学术研究与创新实践指导能力，生涯导师需熟谙行业发展与职业规划方法；</w:t>
      </w:r>
    </w:p>
    <w:p w14:paraId="140E050D">
      <w:pPr>
        <w:spacing w:line="52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3、校内导师需具备中级及以上职称，或硕士及以上学位且从事教学科研工作满 1 年；校外导师需为中医药领域企事业单位高级人才，经学校认定后任职</w:t>
      </w:r>
      <w:r>
        <w:rPr>
          <w:rFonts w:hint="eastAsia" w:ascii="仿宋_GB2312" w:eastAsia="仿宋_GB2312"/>
          <w:sz w:val="28"/>
          <w:szCs w:val="28"/>
          <w:lang w:eastAsia="zh-CN"/>
        </w:rPr>
        <w:t>；</w:t>
      </w:r>
    </w:p>
    <w:p w14:paraId="5CF8AE18">
      <w:pPr>
        <w:spacing w:line="520" w:lineRule="exact"/>
        <w:ind w:firstLine="562" w:firstLineChars="200"/>
        <w:rPr>
          <w:rFonts w:hint="eastAsia" w:ascii="仿宋_GB2312" w:eastAsia="仿宋_GB2312"/>
          <w:b/>
          <w:sz w:val="28"/>
          <w:szCs w:val="28"/>
          <w:lang w:val="en-US" w:eastAsia="zh-CN"/>
        </w:rPr>
      </w:pPr>
      <w:r>
        <w:rPr>
          <w:rFonts w:hint="eastAsia" w:ascii="仿宋_GB2312" w:eastAsia="仿宋_GB2312"/>
          <w:b/>
          <w:sz w:val="28"/>
          <w:szCs w:val="28"/>
          <w:lang w:val="en-US" w:eastAsia="zh-CN"/>
        </w:rPr>
        <w:t>二、各类导师除需符合基本条件外，还需满足以下特定要求：</w:t>
      </w:r>
    </w:p>
    <w:p w14:paraId="2207EECB">
      <w:pPr>
        <w:spacing w:line="520" w:lineRule="exact"/>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 xml:space="preserve">（一）科创导师：一般需具有副教授以上职称。科研经历要求主持厅级及以上科研项目，在中医药及相关学科领域有稳定研究方向，近 2 年在核心期刊发表研究成果，能指导学生开展基础研究或应用研究；或曾指导学生获得省级及以上学科竞赛奖项或大学生创新创业训练计划项目；或指导的学生创新创业项目获专利授权、实现成果转化等良好成果，能为学生提供科创实践资源支持。 </w:t>
      </w:r>
    </w:p>
    <w:p w14:paraId="282BC136">
      <w:pPr>
        <w:spacing w:line="520" w:lineRule="exact"/>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 xml:space="preserve">（二）生涯导师：校内导师教学或研究方向应与学生所在专业为同一学科门类，或具有《大学生职业生涯规划》《大学生创新创业指导》课程教学经验，深入了解学生职业发展需求。校外导师需为行业资深人士、企业中高层管理人员或人力资源专家、各地市党政机关、央国企组织人事部门负责人、毕业满 5 年的本校优秀校友等，具备 5 年以上相关行业工作经验，能分享职业经历并提供实践指导。 </w:t>
      </w:r>
    </w:p>
    <w:p w14:paraId="683DD97F">
      <w:pPr>
        <w:spacing w:line="520" w:lineRule="exact"/>
        <w:ind w:firstLine="562" w:firstLineChars="200"/>
        <w:jc w:val="center"/>
        <w:rPr>
          <w:rFonts w:hint="eastAsia" w:ascii="仿宋_GB2312" w:eastAsia="仿宋_GB2312"/>
          <w:b/>
          <w:sz w:val="28"/>
          <w:szCs w:val="28"/>
        </w:rPr>
      </w:pPr>
      <w:r>
        <w:rPr>
          <w:rFonts w:hint="eastAsia" w:ascii="仿宋_GB2312" w:hAnsi="Times New Roman" w:eastAsia="仿宋_GB2312" w:cs="Times New Roman"/>
          <w:b/>
          <w:sz w:val="28"/>
          <w:szCs w:val="28"/>
          <w:lang w:val="en-US" w:eastAsia="zh-CN"/>
        </w:rPr>
        <w:t xml:space="preserve">第三章 </w:t>
      </w:r>
      <w:r>
        <w:rPr>
          <w:rFonts w:hint="eastAsia" w:ascii="仿宋_GB2312" w:eastAsia="仿宋_GB2312"/>
          <w:b/>
          <w:sz w:val="28"/>
          <w:szCs w:val="28"/>
        </w:rPr>
        <w:t>培养对象的考核</w:t>
      </w:r>
    </w:p>
    <w:p w14:paraId="4B7C90F6">
      <w:pPr>
        <w:spacing w:line="520" w:lineRule="exact"/>
        <w:ind w:firstLine="560" w:firstLineChars="200"/>
        <w:rPr>
          <w:rFonts w:hint="eastAsia" w:ascii="仿宋_GB2312" w:eastAsia="仿宋_GB2312"/>
          <w:color w:val="auto"/>
          <w:sz w:val="28"/>
          <w:szCs w:val="28"/>
          <w:highlight w:val="none"/>
        </w:rPr>
      </w:pPr>
      <w:r>
        <w:rPr>
          <w:rFonts w:hint="eastAsia" w:ascii="仿宋_GB2312" w:eastAsia="仿宋_GB2312"/>
          <w:sz w:val="28"/>
          <w:szCs w:val="28"/>
        </w:rPr>
        <w:t>对不能正常完成年度培养计划的培养对象，学院本导制人才培养工作领导小</w:t>
      </w:r>
      <w:r>
        <w:rPr>
          <w:rFonts w:hint="eastAsia" w:ascii="仿宋_GB2312" w:eastAsia="仿宋_GB2312"/>
          <w:color w:val="auto"/>
          <w:sz w:val="28"/>
          <w:szCs w:val="28"/>
          <w:highlight w:val="none"/>
        </w:rPr>
        <w:t>组与导师共同决定终止其培养对象资格。培养对象在一年内需满足以下1—</w:t>
      </w:r>
      <w:r>
        <w:rPr>
          <w:rFonts w:hint="eastAsia" w:ascii="仿宋_GB2312" w:eastAsia="仿宋_GB2312"/>
          <w:color w:val="auto"/>
          <w:sz w:val="28"/>
          <w:szCs w:val="28"/>
          <w:highlight w:val="none"/>
          <w:lang w:val="en-US" w:eastAsia="zh-CN"/>
        </w:rPr>
        <w:t>5</w:t>
      </w:r>
      <w:r>
        <w:rPr>
          <w:rFonts w:hint="eastAsia" w:ascii="仿宋_GB2312" w:eastAsia="仿宋_GB2312"/>
          <w:color w:val="auto"/>
          <w:sz w:val="28"/>
          <w:szCs w:val="28"/>
          <w:highlight w:val="none"/>
        </w:rPr>
        <w:t>项要求，否则将自动中止其培养资格，在培养期结束时必须具备以下</w:t>
      </w:r>
      <w:r>
        <w:rPr>
          <w:rFonts w:hint="eastAsia" w:ascii="仿宋_GB2312" w:eastAsia="仿宋_GB2312"/>
          <w:color w:val="auto"/>
          <w:sz w:val="28"/>
          <w:szCs w:val="28"/>
          <w:highlight w:val="none"/>
          <w:lang w:val="en-US" w:eastAsia="zh-CN"/>
        </w:rPr>
        <w:t>6</w:t>
      </w:r>
      <w:r>
        <w:rPr>
          <w:rFonts w:hint="eastAsia" w:ascii="仿宋_GB2312" w:eastAsia="仿宋_GB2312"/>
          <w:color w:val="auto"/>
          <w:sz w:val="28"/>
          <w:szCs w:val="28"/>
          <w:highlight w:val="none"/>
        </w:rPr>
        <w:t>—11项中的两项以上（含两项）要求：</w:t>
      </w:r>
    </w:p>
    <w:p w14:paraId="3A238A6E">
      <w:pPr>
        <w:spacing w:line="520" w:lineRule="exact"/>
        <w:ind w:firstLine="560" w:firstLineChars="200"/>
        <w:rPr>
          <w:rFonts w:hint="default" w:ascii="仿宋_GB2312" w:eastAsia="仿宋_GB2312"/>
          <w:color w:val="auto"/>
          <w:sz w:val="28"/>
          <w:szCs w:val="28"/>
          <w:highlight w:val="none"/>
          <w:lang w:val="en-US"/>
        </w:rPr>
      </w:pPr>
      <w:r>
        <w:rPr>
          <w:rFonts w:hint="eastAsia" w:ascii="仿宋_GB2312" w:eastAsia="仿宋_GB2312"/>
          <w:color w:val="auto"/>
          <w:sz w:val="28"/>
          <w:szCs w:val="28"/>
          <w:highlight w:val="none"/>
        </w:rPr>
        <w:t xml:space="preserve"> </w:t>
      </w:r>
      <w:bookmarkStart w:id="0" w:name="OLE_LINK1"/>
      <w:r>
        <w:rPr>
          <w:rFonts w:hint="eastAsia" w:ascii="仿宋_GB2312" w:eastAsia="仿宋_GB2312"/>
          <w:b/>
          <w:color w:val="auto"/>
          <w:sz w:val="28"/>
          <w:szCs w:val="28"/>
          <w:highlight w:val="none"/>
          <w:lang w:val="en-US" w:eastAsia="zh-CN"/>
        </w:rPr>
        <w:t>一、选择科创</w:t>
      </w:r>
      <w:r>
        <w:rPr>
          <w:rFonts w:hint="eastAsia" w:ascii="仿宋_GB2312" w:eastAsia="仿宋_GB2312"/>
          <w:b/>
          <w:color w:val="auto"/>
          <w:sz w:val="28"/>
          <w:szCs w:val="28"/>
          <w:highlight w:val="none"/>
        </w:rPr>
        <w:t>导师</w:t>
      </w:r>
      <w:r>
        <w:rPr>
          <w:rFonts w:hint="eastAsia" w:ascii="仿宋_GB2312" w:eastAsia="仿宋_GB2312"/>
          <w:b/>
          <w:color w:val="auto"/>
          <w:sz w:val="28"/>
          <w:szCs w:val="28"/>
          <w:highlight w:val="none"/>
          <w:lang w:eastAsia="zh-CN"/>
        </w:rPr>
        <w:t>的</w:t>
      </w:r>
      <w:r>
        <w:rPr>
          <w:rFonts w:hint="eastAsia" w:ascii="仿宋_GB2312" w:eastAsia="仿宋_GB2312"/>
          <w:b/>
          <w:color w:val="auto"/>
          <w:sz w:val="28"/>
          <w:szCs w:val="28"/>
          <w:highlight w:val="none"/>
          <w:lang w:val="en-US" w:eastAsia="zh-CN"/>
        </w:rPr>
        <w:t>培养对象应具备以下要求</w:t>
      </w:r>
    </w:p>
    <w:p w14:paraId="4A64A862">
      <w:pPr>
        <w:spacing w:line="52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1、遵守学校的各项规章制度，未受到学校行政处分；</w:t>
      </w:r>
    </w:p>
    <w:p w14:paraId="73DB9A7D">
      <w:pPr>
        <w:spacing w:line="52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 xml:space="preserve">2、必修课考试无不及格，年度综合绩点列同年级同专业前1/3； </w:t>
      </w:r>
    </w:p>
    <w:p w14:paraId="0682C0ED">
      <w:pPr>
        <w:spacing w:line="52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3、体质测试及格以上，身心健康；</w:t>
      </w:r>
    </w:p>
    <w:p w14:paraId="324A37ED">
      <w:pPr>
        <w:spacing w:line="520" w:lineRule="exact"/>
        <w:ind w:firstLine="420" w:firstLineChars="15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 xml:space="preserve"> 4、英语通过CET4级；</w:t>
      </w:r>
    </w:p>
    <w:bookmarkEnd w:id="0"/>
    <w:p w14:paraId="58946DF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Times New Roman" w:eastAsia="仿宋_GB2312" w:cs="Times New Roman"/>
          <w:color w:val="auto"/>
          <w:sz w:val="28"/>
          <w:szCs w:val="28"/>
          <w:highlight w:val="none"/>
          <w:lang w:eastAsia="zh-CN"/>
        </w:rPr>
      </w:pPr>
      <w:r>
        <w:rPr>
          <w:rFonts w:hint="eastAsia" w:ascii="仿宋_GB2312" w:hAnsi="Times New Roman" w:eastAsia="仿宋_GB2312" w:cs="Times New Roman"/>
          <w:color w:val="auto"/>
          <w:sz w:val="28"/>
          <w:szCs w:val="28"/>
          <w:highlight w:val="none"/>
          <w:lang w:val="en-US" w:eastAsia="zh-CN"/>
        </w:rPr>
        <w:t>5、</w:t>
      </w:r>
      <w:r>
        <w:rPr>
          <w:rFonts w:hint="eastAsia" w:ascii="仿宋_GB2312" w:hAnsi="Times New Roman" w:eastAsia="仿宋_GB2312" w:cs="Times New Roman"/>
          <w:color w:val="auto"/>
          <w:sz w:val="28"/>
          <w:szCs w:val="28"/>
          <w:highlight w:val="none"/>
        </w:rPr>
        <w:t xml:space="preserve"> 每学期指导阅读专业书籍不少于 3 本、学术文献不少于 5 篇</w:t>
      </w:r>
      <w:r>
        <w:rPr>
          <w:rFonts w:hint="eastAsia" w:ascii="仿宋_GB2312" w:hAnsi="Times New Roman" w:eastAsia="仿宋_GB2312" w:cs="Times New Roman"/>
          <w:color w:val="auto"/>
          <w:sz w:val="28"/>
          <w:szCs w:val="28"/>
          <w:highlight w:val="none"/>
          <w:lang w:eastAsia="zh-CN"/>
        </w:rPr>
        <w:t>；</w:t>
      </w:r>
    </w:p>
    <w:p w14:paraId="2DB6C9F0">
      <w:pPr>
        <w:spacing w:line="52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6</w:t>
      </w:r>
      <w:r>
        <w:rPr>
          <w:rFonts w:hint="eastAsia" w:ascii="仿宋_GB2312" w:eastAsia="仿宋_GB2312"/>
          <w:color w:val="auto"/>
          <w:sz w:val="28"/>
          <w:szCs w:val="28"/>
          <w:highlight w:val="none"/>
        </w:rPr>
        <w:t xml:space="preserve">、英语通过CET6级；       </w:t>
      </w:r>
    </w:p>
    <w:p w14:paraId="608E31DF">
      <w:pPr>
        <w:spacing w:line="520" w:lineRule="exact"/>
        <w:ind w:firstLine="560" w:firstLineChars="200"/>
        <w:rPr>
          <w:rFonts w:hint="eastAsia" w:ascii="仿宋_GB2312" w:eastAsia="仿宋_GB2312"/>
          <w:sz w:val="28"/>
          <w:szCs w:val="28"/>
        </w:rPr>
      </w:pPr>
      <w:r>
        <w:rPr>
          <w:rFonts w:hint="eastAsia" w:ascii="仿宋_GB2312" w:eastAsia="仿宋_GB2312"/>
          <w:color w:val="auto"/>
          <w:sz w:val="28"/>
          <w:szCs w:val="28"/>
          <w:highlight w:val="none"/>
          <w:lang w:val="en-US" w:eastAsia="zh-CN"/>
        </w:rPr>
        <w:t>7</w:t>
      </w:r>
      <w:r>
        <w:rPr>
          <w:rFonts w:hint="eastAsia" w:ascii="仿宋_GB2312" w:eastAsia="仿宋_GB2312"/>
          <w:color w:val="auto"/>
          <w:sz w:val="28"/>
          <w:szCs w:val="28"/>
          <w:highlight w:val="none"/>
        </w:rPr>
        <w:t>、以第一作者身份在省级</w:t>
      </w:r>
      <w:r>
        <w:rPr>
          <w:rFonts w:hint="eastAsia" w:ascii="仿宋_GB2312" w:eastAsia="仿宋_GB2312"/>
          <w:sz w:val="28"/>
          <w:szCs w:val="28"/>
        </w:rPr>
        <w:t>以上学术刊物公开发表学术论文1篇,或第二作者在中文核心期刊公开发表学术论文1篇；</w:t>
      </w:r>
    </w:p>
    <w:p w14:paraId="60E8FBE7">
      <w:pPr>
        <w:spacing w:line="52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8</w:t>
      </w:r>
      <w:r>
        <w:rPr>
          <w:rFonts w:hint="eastAsia" w:ascii="仿宋_GB2312" w:eastAsia="仿宋_GB2312"/>
          <w:sz w:val="28"/>
          <w:szCs w:val="28"/>
        </w:rPr>
        <w:t>、参加院级及以上学生创新课题1项以上（院级需为主持人，校级排名前二，省级排名前四，国家级排名前六）；</w:t>
      </w:r>
    </w:p>
    <w:p w14:paraId="69D633D7">
      <w:pPr>
        <w:spacing w:line="52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9</w:t>
      </w:r>
      <w:r>
        <w:rPr>
          <w:rFonts w:hint="eastAsia" w:ascii="仿宋_GB2312" w:eastAsia="仿宋_GB2312"/>
          <w:sz w:val="28"/>
          <w:szCs w:val="28"/>
        </w:rPr>
        <w:t>、考取省计算机等级考试二级以上证书或其它专业认证证书；</w:t>
      </w:r>
    </w:p>
    <w:p w14:paraId="6DA709EC">
      <w:pPr>
        <w:spacing w:line="52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10</w:t>
      </w:r>
      <w:r>
        <w:rPr>
          <w:rFonts w:hint="eastAsia" w:ascii="仿宋_GB2312" w:eastAsia="仿宋_GB2312"/>
          <w:sz w:val="28"/>
          <w:szCs w:val="28"/>
        </w:rPr>
        <w:t>、获得校级及以上学科竞赛、专业技能竞赛或科创创业竞赛等奖项1次以上；</w:t>
      </w:r>
    </w:p>
    <w:p w14:paraId="70C77E67">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11、具有国家认可的科技发明、专利或者软件著作权。</w:t>
      </w:r>
    </w:p>
    <w:p w14:paraId="3D1FAA78">
      <w:pPr>
        <w:spacing w:line="520" w:lineRule="exact"/>
        <w:ind w:firstLine="562" w:firstLineChars="200"/>
        <w:rPr>
          <w:rFonts w:hint="default" w:ascii="仿宋_GB2312" w:eastAsia="仿宋_GB2312"/>
          <w:sz w:val="28"/>
          <w:szCs w:val="28"/>
          <w:lang w:val="en-US"/>
        </w:rPr>
      </w:pPr>
      <w:r>
        <w:rPr>
          <w:rFonts w:hint="eastAsia" w:ascii="仿宋_GB2312" w:eastAsia="仿宋_GB2312"/>
          <w:b/>
          <w:sz w:val="28"/>
          <w:szCs w:val="28"/>
          <w:lang w:val="en-US" w:eastAsia="zh-CN"/>
        </w:rPr>
        <w:t>二、选择生涯</w:t>
      </w:r>
      <w:r>
        <w:rPr>
          <w:rFonts w:hint="eastAsia" w:ascii="仿宋_GB2312" w:eastAsia="仿宋_GB2312"/>
          <w:b/>
          <w:sz w:val="28"/>
          <w:szCs w:val="28"/>
        </w:rPr>
        <w:t>导师</w:t>
      </w:r>
      <w:r>
        <w:rPr>
          <w:rFonts w:hint="eastAsia" w:ascii="仿宋_GB2312" w:eastAsia="仿宋_GB2312"/>
          <w:b/>
          <w:sz w:val="28"/>
          <w:szCs w:val="28"/>
          <w:lang w:eastAsia="zh-CN"/>
        </w:rPr>
        <w:t>的</w:t>
      </w:r>
      <w:r>
        <w:rPr>
          <w:rFonts w:hint="eastAsia" w:ascii="仿宋_GB2312" w:eastAsia="仿宋_GB2312"/>
          <w:b/>
          <w:sz w:val="28"/>
          <w:szCs w:val="28"/>
          <w:lang w:val="en-US" w:eastAsia="zh-CN"/>
        </w:rPr>
        <w:t>培养对象应具备以下要求</w:t>
      </w:r>
    </w:p>
    <w:p w14:paraId="71D68ED0">
      <w:pPr>
        <w:spacing w:line="52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1、遵守学校的各项规章制度，未受到学校行政处分；</w:t>
      </w:r>
    </w:p>
    <w:p w14:paraId="1EDCC04B">
      <w:pPr>
        <w:spacing w:line="52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 xml:space="preserve">2、必修课考试无不及格，年度综合绩点列同年级同专业前1/3； </w:t>
      </w:r>
    </w:p>
    <w:p w14:paraId="34F6CA6D">
      <w:pPr>
        <w:spacing w:line="52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3、体质测试及格以上，身心健康；</w:t>
      </w:r>
    </w:p>
    <w:p w14:paraId="5A590F88">
      <w:pPr>
        <w:spacing w:line="520" w:lineRule="exact"/>
        <w:ind w:firstLine="420" w:firstLineChars="150"/>
        <w:rPr>
          <w:rFonts w:hint="eastAsia" w:ascii="仿宋_GB2312" w:eastAsia="仿宋_GB2312"/>
          <w:sz w:val="28"/>
          <w:szCs w:val="28"/>
          <w:highlight w:val="none"/>
        </w:rPr>
      </w:pPr>
      <w:r>
        <w:rPr>
          <w:rFonts w:hint="eastAsia" w:ascii="仿宋_GB2312" w:eastAsia="仿宋_GB2312"/>
          <w:sz w:val="28"/>
          <w:szCs w:val="28"/>
          <w:highlight w:val="none"/>
        </w:rPr>
        <w:t xml:space="preserve"> 4、英语通过CET4级；</w:t>
      </w:r>
    </w:p>
    <w:p w14:paraId="71C444C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5、参加大学生职业规划大赛，并且获得校级及以上奖项；</w:t>
      </w:r>
    </w:p>
    <w:p w14:paraId="7AE0A35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6</w:t>
      </w:r>
      <w:r>
        <w:rPr>
          <w:rFonts w:hint="eastAsia" w:ascii="仿宋_GB2312" w:eastAsia="仿宋_GB2312"/>
          <w:color w:val="auto"/>
          <w:sz w:val="28"/>
          <w:szCs w:val="28"/>
          <w:highlight w:val="none"/>
        </w:rPr>
        <w:t xml:space="preserve">、英语通过CET6级； </w:t>
      </w:r>
    </w:p>
    <w:p w14:paraId="789E72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7、与导师进行求职技巧培训，如简历制作、面试技巧、职场礼仪等面对面指导每学期不少于 5 次；</w:t>
      </w:r>
    </w:p>
    <w:p w14:paraId="6E954DA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8、向导师咨询行业发展和求职岗位信息，寻求实习和就业机会，本科期间，进行至少1次实习、见习；</w:t>
      </w:r>
    </w:p>
    <w:p w14:paraId="7CCC83E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9</w:t>
      </w:r>
      <w:r>
        <w:rPr>
          <w:rFonts w:hint="default" w:ascii="仿宋_GB2312" w:eastAsia="仿宋_GB2312"/>
          <w:sz w:val="28"/>
          <w:szCs w:val="28"/>
          <w:highlight w:val="none"/>
          <w:lang w:val="en-US" w:eastAsia="zh-CN"/>
        </w:rPr>
        <w:t>、以第一作者身份在省级以上学术刊物公开发表学术论文1篇,或第二作者在中文核心期刊公开发表学术论文1篇；</w:t>
      </w:r>
    </w:p>
    <w:p w14:paraId="4A3EA69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10</w:t>
      </w:r>
      <w:r>
        <w:rPr>
          <w:rFonts w:hint="default" w:ascii="仿宋_GB2312" w:eastAsia="仿宋_GB2312"/>
          <w:sz w:val="28"/>
          <w:szCs w:val="28"/>
          <w:highlight w:val="none"/>
          <w:lang w:val="en-US" w:eastAsia="zh-CN"/>
        </w:rPr>
        <w:t>、参加院级及以上学生创新课题1项以上（院级需为主持人，校级排名前二，省级排名前四，国家级排名前六）；</w:t>
      </w:r>
    </w:p>
    <w:p w14:paraId="6713C02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eastAsia="仿宋_GB2312"/>
          <w:sz w:val="28"/>
          <w:szCs w:val="28"/>
          <w:highlight w:val="none"/>
          <w:lang w:eastAsia="zh-CN"/>
        </w:rPr>
      </w:pPr>
      <w:r>
        <w:rPr>
          <w:rFonts w:hint="eastAsia" w:ascii="仿宋_GB2312" w:eastAsia="仿宋_GB2312"/>
          <w:sz w:val="28"/>
          <w:szCs w:val="28"/>
          <w:highlight w:val="none"/>
          <w:lang w:val="en-US" w:eastAsia="zh-CN"/>
        </w:rPr>
        <w:t>11、</w:t>
      </w:r>
      <w:r>
        <w:rPr>
          <w:rFonts w:hint="eastAsia" w:ascii="仿宋_GB2312" w:eastAsia="仿宋_GB2312"/>
          <w:sz w:val="28"/>
          <w:szCs w:val="28"/>
          <w:highlight w:val="none"/>
        </w:rPr>
        <w:t>获得校级及以上学科竞赛、专业技能竞赛或科创创业竞赛等奖项1次以上</w:t>
      </w:r>
      <w:r>
        <w:rPr>
          <w:rFonts w:hint="eastAsia" w:ascii="仿宋_GB2312" w:eastAsia="仿宋_GB2312"/>
          <w:sz w:val="28"/>
          <w:szCs w:val="28"/>
          <w:highlight w:val="none"/>
          <w:lang w:eastAsia="zh-CN"/>
        </w:rPr>
        <w:t>。</w:t>
      </w:r>
    </w:p>
    <w:p w14:paraId="272F417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eastAsia="仿宋_GB2312"/>
          <w:sz w:val="28"/>
          <w:szCs w:val="28"/>
          <w:highlight w:val="none"/>
          <w:lang w:eastAsia="zh-CN"/>
        </w:rPr>
      </w:pPr>
    </w:p>
    <w:p w14:paraId="5996CDDA">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在考核过程中如有其它特殊情况，报学院本导制人才培养工作领导小组研究决定。</w:t>
      </w:r>
    </w:p>
    <w:p w14:paraId="41F6D759">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FD1169"/>
    <w:rsid w:val="1AFD1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2025-10-16T01:43:00Z</dcterms:created>
  <dc:creator>闫思盟</dc:creator>
  <cp:lastModifiedBy>闫思盟</cp:lastModifiedBy>
  <dcterms:modified xsi:type="dcterms:W3CDTF">2025-10-16T01:44:13Z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4251F75D97614FF3A0F15225BE3BFD3B_11</vt:lpwstr>
  </property>
  <property fmtid="{D5CDD505-2E9C-101B-9397-08002B2CF9AE}" pid="4" name="KSOTemplateDocerSaveRecord">
    <vt:lpwstr>eyJoZGlkIjoiNGQ5ODE0Yzk5Yjk3ZDg4NTYxNDQ1MTgwOTMzN2Y0NDQiLCJ1c2VySWQiOiIxNzE1NDQ0MjIwIn0=</vt:lpwstr>
  </property>
</Properties>
</file>